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CEA0" w14:textId="77777777" w:rsidR="00B23304" w:rsidRDefault="00FB6028" w:rsidP="00C800F3">
      <w:pPr>
        <w:spacing w:after="120" w:line="240" w:lineRule="auto"/>
        <w:rPr>
          <w:b/>
          <w:bCs/>
          <w:sz w:val="32"/>
          <w:szCs w:val="32"/>
        </w:rPr>
      </w:pPr>
      <w:r w:rsidRPr="00FB6028">
        <w:rPr>
          <w:b/>
          <w:bCs/>
          <w:sz w:val="32"/>
          <w:szCs w:val="32"/>
        </w:rPr>
        <w:t>Reparatur - Potenziale für KKU und KMU</w:t>
      </w:r>
      <w:bookmarkStart w:id="0" w:name="_Hlk142642488"/>
    </w:p>
    <w:p w14:paraId="7D6EF031" w14:textId="17766B3E" w:rsidR="00457940" w:rsidRPr="002463A0" w:rsidRDefault="00FB6028" w:rsidP="00C800F3">
      <w:pPr>
        <w:spacing w:after="120" w:line="240" w:lineRule="auto"/>
        <w:rPr>
          <w:b/>
          <w:bCs/>
          <w:sz w:val="32"/>
          <w:szCs w:val="32"/>
        </w:rPr>
      </w:pPr>
      <w:r>
        <w:t xml:space="preserve">Reparatur bedeutet vorhandene Produkte oder Betriebsmittel zu überholen und wieder funktionsfähig zu machen, anstatt sie sofort zu </w:t>
      </w:r>
      <w:r w:rsidR="00A24B3E">
        <w:t>ersetzen. Dabei</w:t>
      </w:r>
      <w:r w:rsidR="00F157DB">
        <w:t xml:space="preserve"> kann ein Unternehmen als Hersteller </w:t>
      </w:r>
      <w:r w:rsidR="00A24B3E">
        <w:t>von Produkten auftreten, die repariert werden</w:t>
      </w:r>
      <w:r w:rsidR="00F157DB">
        <w:t xml:space="preserve">, als Reparaturdienstleister auftreten </w:t>
      </w:r>
      <w:r w:rsidR="001B5EC3">
        <w:t>oder</w:t>
      </w:r>
      <w:r w:rsidR="00F157DB">
        <w:t xml:space="preserve"> Reparaturen an eigenen Betriebsmitteln in Auftrag geben. </w:t>
      </w:r>
      <w:r w:rsidR="00457940">
        <w:t>Das Thema „Reparatur“ birgt für Kleinst-, Klein- und mittlere Unternehmen zahlreiche Möglichkeiten und Vorteile</w:t>
      </w:r>
      <w:r w:rsidR="007B264E">
        <w:t>.</w:t>
      </w:r>
      <w:r w:rsidR="00F157DB">
        <w:t xml:space="preserve"> </w:t>
      </w:r>
      <w:r w:rsidR="000A080A">
        <w:t>Gehen Sie selbst</w:t>
      </w:r>
      <w:r w:rsidR="006B537A">
        <w:t xml:space="preserve"> mit positivem Beispiel </w:t>
      </w:r>
      <w:r w:rsidR="00A24B3E">
        <w:t>voran,</w:t>
      </w:r>
      <w:r w:rsidR="000A080A">
        <w:t xml:space="preserve"> indem Sie</w:t>
      </w:r>
      <w:r w:rsidR="006B537A">
        <w:t xml:space="preserve"> versuchen, Ihre Betriebsmittel durch Reparaturen so lange wie möglich zu nutzen. </w:t>
      </w:r>
      <w:r w:rsidR="009E5FD9">
        <w:t>Dieser One-Pager bietet einen Einstieg und Anregungen, w</w:t>
      </w:r>
      <w:r w:rsidR="00457940">
        <w:t>ie Sie die Potenziale nutzen können und was Ihnen Ihr Engagement bringt</w:t>
      </w:r>
      <w:bookmarkEnd w:id="0"/>
      <w:r w:rsidR="009E5FD9">
        <w:t>.</w:t>
      </w:r>
    </w:p>
    <w:p w14:paraId="611BD62B" w14:textId="1C0BA499" w:rsidR="00D84C85" w:rsidRPr="00D84C85" w:rsidRDefault="00D84C85" w:rsidP="002544F0">
      <w:pPr>
        <w:shd w:val="clear" w:color="auto" w:fill="4174B1"/>
        <w:spacing w:after="120" w:line="240" w:lineRule="auto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Wieso ist das Thema Reparatur relevant?</w:t>
      </w:r>
    </w:p>
    <w:p w14:paraId="5446311B" w14:textId="442C0599" w:rsidR="00DC7756" w:rsidRDefault="006F427C" w:rsidP="006F427C">
      <w:pPr>
        <w:spacing w:after="120" w:line="240" w:lineRule="auto"/>
      </w:pPr>
      <w:r>
        <w:t>Sowohl die planetaren Grenzen als auch die Wünsche der Kund</w:t>
      </w:r>
      <w:r w:rsidR="00D37F5E">
        <w:t>schaft</w:t>
      </w:r>
      <w:r>
        <w:t xml:space="preserve"> </w:t>
      </w:r>
      <w:r w:rsidR="00080F6B">
        <w:t xml:space="preserve">und gesetzliche Vorgaben </w:t>
      </w:r>
      <w:r>
        <w:t xml:space="preserve">drängen auf mehr </w:t>
      </w:r>
      <w:r w:rsidR="003625E4">
        <w:t>Nachhaltigkeit</w:t>
      </w:r>
      <w:r>
        <w:t xml:space="preserve"> in verschiedenen Bereichen – so auch in Bezug auf den Einsatz von Ressourcen und Rohstoffen. Nicht nur die Nutzungsdauer von Kraftfahrzeugen kann durch Reparatur verlängert werden, sondern u. a. auch die von Unterhaltungselektronik, Garten-</w:t>
      </w:r>
      <w:r w:rsidR="00B23304">
        <w:t>,</w:t>
      </w:r>
      <w:r>
        <w:t xml:space="preserve"> Haushalts</w:t>
      </w:r>
      <w:r w:rsidR="00080F6B">
        <w:t>- und Elektro</w:t>
      </w:r>
      <w:r>
        <w:t>geräten, Fahrräder</w:t>
      </w:r>
      <w:r w:rsidR="00756A70">
        <w:t>n</w:t>
      </w:r>
      <w:r>
        <w:t>, Schmuck, Textilien</w:t>
      </w:r>
      <w:r w:rsidR="00080F6B">
        <w:t xml:space="preserve"> und</w:t>
      </w:r>
      <w:r w:rsidR="00B23304">
        <w:t xml:space="preserve"> </w:t>
      </w:r>
      <w:r>
        <w:t xml:space="preserve">Schuhen. Der Trend geht </w:t>
      </w:r>
      <w:r w:rsidR="00080F6B">
        <w:t xml:space="preserve">weg </w:t>
      </w:r>
      <w:r>
        <w:t xml:space="preserve">von der sog. Wegwerfgesellschaft hin zu einer Gesellschaft, die auf Langlebigkeit </w:t>
      </w:r>
      <w:r w:rsidR="001B6FD8">
        <w:t xml:space="preserve">und Ressourceneffizienz </w:t>
      </w:r>
      <w:r>
        <w:t>setzt</w:t>
      </w:r>
      <w:r w:rsidR="00BF6BBE">
        <w:t xml:space="preserve"> – und dafür sowohl professioneller Reparaturbetriebe als auch zivilgesellschaftlicher Reparatur-Initiativen bedarf</w:t>
      </w:r>
      <w:r>
        <w:t>.</w:t>
      </w:r>
      <w:r w:rsidR="00DC7756">
        <w:t xml:space="preserve"> </w:t>
      </w:r>
      <w:r w:rsidR="0034798F">
        <w:t>In dieser Hinsicht werden auch viele Maßnahmen zur Förderung von Reparaturen von der öffentlichen Hand geplant.</w:t>
      </w:r>
    </w:p>
    <w:p w14:paraId="7AC6B4F7" w14:textId="777EE294" w:rsidR="008167AF" w:rsidRDefault="0034798F" w:rsidP="00756A70">
      <w:pPr>
        <w:spacing w:after="120" w:line="240" w:lineRule="auto"/>
      </w:pPr>
      <w:r>
        <w:t xml:space="preserve">Dem </w:t>
      </w:r>
      <w:r w:rsidR="00DC7756">
        <w:t>gestiegenen Bedarf an Reparaturangeboten kann v. a. durch Zusammenarbeit</w:t>
      </w:r>
      <w:r w:rsidR="002312C1">
        <w:t xml:space="preserve"> zwischen den </w:t>
      </w:r>
      <w:r w:rsidR="000A080A">
        <w:t>Anbietern von Reparaturen</w:t>
      </w:r>
      <w:r w:rsidR="00DC7756">
        <w:t xml:space="preserve"> entgegengekommen werden: </w:t>
      </w:r>
      <w:r w:rsidR="0051769A">
        <w:t>Akteure, die von der Zusammenarbeit profitieren können,</w:t>
      </w:r>
      <w:r w:rsidR="00690DFE">
        <w:t xml:space="preserve"> sind</w:t>
      </w:r>
      <w:r w:rsidR="0051769A">
        <w:t xml:space="preserve"> Reparaturdienst</w:t>
      </w:r>
      <w:r w:rsidR="00BE4F71">
        <w:t>leister</w:t>
      </w:r>
      <w:r w:rsidR="0051769A">
        <w:t xml:space="preserve">, </w:t>
      </w:r>
      <w:r w:rsidR="00BE4F71">
        <w:t xml:space="preserve">Wirtschafts- und Umweltverbände, </w:t>
      </w:r>
      <w:r w:rsidR="001C26A5">
        <w:t>zivilgesellschaftliche Reparatur</w:t>
      </w:r>
      <w:r w:rsidR="000A080A">
        <w:t>-</w:t>
      </w:r>
      <w:r w:rsidR="001C26A5">
        <w:t xml:space="preserve">Cafés und auch </w:t>
      </w:r>
      <w:r w:rsidR="0051769A">
        <w:t>Hersteller</w:t>
      </w:r>
      <w:r w:rsidR="001C26A5">
        <w:t xml:space="preserve">. </w:t>
      </w:r>
      <w:r w:rsidR="003B6272">
        <w:t xml:space="preserve">Die Vielfalt und Komplexität moderner Geräte erfordern eine breite Expertise, die </w:t>
      </w:r>
      <w:r w:rsidR="00690DFE">
        <w:t>d</w:t>
      </w:r>
      <w:r w:rsidR="003B6272">
        <w:t xml:space="preserve">urch die Vernetzung und Kooperation </w:t>
      </w:r>
      <w:r w:rsidR="000A080A">
        <w:t>von</w:t>
      </w:r>
      <w:r w:rsidR="003B6272">
        <w:t xml:space="preserve"> verschiedenen Reparaturdiensten</w:t>
      </w:r>
      <w:r w:rsidR="00690DFE">
        <w:t xml:space="preserve"> besser abgedeckt werden kann. So</w:t>
      </w:r>
      <w:r w:rsidR="003B6272">
        <w:t xml:space="preserve"> können Ressourcen gebündelt, Fachkenntnisse geteilt und Effizienz gesteigert werden. Diese Form der Zusammenarbeit trägt nicht nur zur nachhaltigen Nutzung von Ressourcen bei, sondern fördert auch den Austausch von Know-how, was letztendlich zu einer verbesserten Reparaturqualität und Kundenzufriedenheit führt. </w:t>
      </w:r>
    </w:p>
    <w:p w14:paraId="446DE316" w14:textId="38227898" w:rsidR="006B279E" w:rsidRPr="002544F0" w:rsidRDefault="003625E4" w:rsidP="002544F0">
      <w:pPr>
        <w:shd w:val="clear" w:color="auto" w:fill="4174B1"/>
        <w:spacing w:after="120" w:line="240" w:lineRule="auto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Welchen Nutzen ha</w:t>
      </w:r>
      <w:r w:rsidR="001A10A4">
        <w:rPr>
          <w:b/>
          <w:bCs/>
          <w:color w:val="FFFFFF" w:themeColor="background1"/>
        </w:rPr>
        <w:t>t Ihr</w:t>
      </w:r>
      <w:r w:rsidR="00870B0E">
        <w:rPr>
          <w:b/>
          <w:bCs/>
          <w:color w:val="FFFFFF" w:themeColor="background1"/>
        </w:rPr>
        <w:t xml:space="preserve"> Betrieb </w:t>
      </w:r>
      <w:r>
        <w:rPr>
          <w:b/>
          <w:bCs/>
          <w:color w:val="FFFFFF" w:themeColor="background1"/>
        </w:rPr>
        <w:t>von Reparaturen?</w:t>
      </w:r>
    </w:p>
    <w:p w14:paraId="28DD965C" w14:textId="24FAC283" w:rsidR="00870B0E" w:rsidRDefault="00870B0E" w:rsidP="00870B0E">
      <w:pPr>
        <w:spacing w:after="120" w:line="240" w:lineRule="auto"/>
      </w:pPr>
      <w:r>
        <w:t xml:space="preserve">Bieten Sie als Betrieb Reparaturen an oder kooperieren bspw. </w:t>
      </w:r>
      <w:r w:rsidR="001A10A4">
        <w:t xml:space="preserve">mit </w:t>
      </w:r>
      <w:r>
        <w:t>Reparatur-Initiativen, kann dies positive Effekt</w:t>
      </w:r>
      <w:r w:rsidR="00080F6B">
        <w:t>e</w:t>
      </w:r>
      <w:r>
        <w:t xml:space="preserve"> haben:</w:t>
      </w:r>
    </w:p>
    <w:p w14:paraId="2986BD88" w14:textId="77777777" w:rsidR="00870B0E" w:rsidRDefault="00870B0E" w:rsidP="00870B0E">
      <w:pPr>
        <w:pStyle w:val="Listenabsatz"/>
        <w:numPr>
          <w:ilvl w:val="0"/>
          <w:numId w:val="5"/>
        </w:numPr>
        <w:spacing w:after="120" w:line="240" w:lineRule="auto"/>
      </w:pPr>
      <w:r>
        <w:t>Besseres Image, positive Außendarstellung</w:t>
      </w:r>
    </w:p>
    <w:p w14:paraId="125174F2" w14:textId="2E589DB0" w:rsidR="00870B0E" w:rsidRDefault="00870B0E" w:rsidP="00870B0E">
      <w:pPr>
        <w:pStyle w:val="Listenabsatz"/>
        <w:numPr>
          <w:ilvl w:val="0"/>
          <w:numId w:val="5"/>
        </w:numPr>
        <w:spacing w:after="120" w:line="240" w:lineRule="auto"/>
      </w:pPr>
      <w:r>
        <w:t xml:space="preserve">Höhere Arbeitgeberattraktivität, </w:t>
      </w:r>
      <w:r w:rsidR="001A10A4">
        <w:t xml:space="preserve">Gewinnung &amp; Entwicklung von </w:t>
      </w:r>
      <w:r>
        <w:t>Personal</w:t>
      </w:r>
      <w:r w:rsidR="000C4FF8">
        <w:t xml:space="preserve"> (Erhöhung der fachlichen und sozialen Kompetenzen)</w:t>
      </w:r>
      <w:r>
        <w:t xml:space="preserve">, Bindung der </w:t>
      </w:r>
      <w:r w:rsidR="001A10A4">
        <w:t>Beschäftigten</w:t>
      </w:r>
    </w:p>
    <w:p w14:paraId="3415F62D" w14:textId="741607E1" w:rsidR="009A61E2" w:rsidRDefault="009A61E2" w:rsidP="009A61E2">
      <w:pPr>
        <w:pStyle w:val="Listenabsatz"/>
        <w:numPr>
          <w:ilvl w:val="0"/>
          <w:numId w:val="5"/>
        </w:numPr>
        <w:spacing w:after="120" w:line="240" w:lineRule="auto"/>
      </w:pPr>
      <w:r>
        <w:t>Wettbewerbsvorteil durch Erschließung eines wieder aufstrebenden Marktes (höhere Absätze</w:t>
      </w:r>
      <w:r w:rsidR="00E57ED9">
        <w:t>,</w:t>
      </w:r>
      <w:r>
        <w:t xml:space="preserve"> auch aufgrund von Gesetzesänderungen wie z. B. </w:t>
      </w:r>
      <w:r w:rsidR="00D37F5E">
        <w:t xml:space="preserve">das </w:t>
      </w:r>
      <w:r>
        <w:t>Recht auf Reparatur)</w:t>
      </w:r>
    </w:p>
    <w:p w14:paraId="40468EB0" w14:textId="64F876E8" w:rsidR="00022403" w:rsidRDefault="006F427C" w:rsidP="009A61E2">
      <w:pPr>
        <w:pStyle w:val="Listenabsatz"/>
        <w:numPr>
          <w:ilvl w:val="0"/>
          <w:numId w:val="5"/>
        </w:numPr>
        <w:spacing w:after="120" w:line="240" w:lineRule="auto"/>
      </w:pPr>
      <w:r>
        <w:t xml:space="preserve">Lokale </w:t>
      </w:r>
      <w:r w:rsidR="003625E4">
        <w:t>Kundenbindung</w:t>
      </w:r>
      <w:r w:rsidR="001A10A4">
        <w:t xml:space="preserve"> &amp; </w:t>
      </w:r>
      <w:r w:rsidR="00091190">
        <w:t>höhere Kundenzufriedenheit</w:t>
      </w:r>
      <w:r w:rsidR="00940BC7">
        <w:t xml:space="preserve"> </w:t>
      </w:r>
      <w:r w:rsidR="00022403">
        <w:t xml:space="preserve">durch direkte Reparatur oder Weiterleitung </w:t>
      </w:r>
      <w:r w:rsidR="00022403" w:rsidRPr="00B23304">
        <w:rPr>
          <w:u w:val="single"/>
        </w:rPr>
        <w:t>an</w:t>
      </w:r>
      <w:r w:rsidR="00022403">
        <w:t xml:space="preserve"> z. B. Reparatur-Initiativen bei </w:t>
      </w:r>
      <w:r w:rsidR="001A10A4">
        <w:t xml:space="preserve">Reparaturen, die sich </w:t>
      </w:r>
      <w:r w:rsidR="00022403">
        <w:t xml:space="preserve">wirtschaftlich für den Betrieb </w:t>
      </w:r>
      <w:r w:rsidR="001A10A4">
        <w:t>nicht lohnen</w:t>
      </w:r>
    </w:p>
    <w:p w14:paraId="4DB5954A" w14:textId="51DB9836" w:rsidR="000D1AEB" w:rsidRDefault="003625E4" w:rsidP="003625E4">
      <w:pPr>
        <w:pStyle w:val="Listenabsatz"/>
        <w:numPr>
          <w:ilvl w:val="0"/>
          <w:numId w:val="5"/>
        </w:numPr>
        <w:spacing w:after="120" w:line="240" w:lineRule="auto"/>
      </w:pPr>
      <w:r>
        <w:t>Auftrag</w:t>
      </w:r>
      <w:r w:rsidR="006F427C">
        <w:t>s</w:t>
      </w:r>
      <w:r>
        <w:t xml:space="preserve">gewinnung </w:t>
      </w:r>
      <w:r w:rsidR="00091190">
        <w:t xml:space="preserve">durch </w:t>
      </w:r>
      <w:r w:rsidR="00022403">
        <w:t xml:space="preserve">Kundenweiterleitung, z. B. </w:t>
      </w:r>
      <w:r w:rsidR="00080F6B" w:rsidRPr="00B23304">
        <w:rPr>
          <w:u w:val="single"/>
        </w:rPr>
        <w:t>von</w:t>
      </w:r>
      <w:r w:rsidR="00080F6B">
        <w:t xml:space="preserve"> </w:t>
      </w:r>
      <w:r w:rsidR="00022403">
        <w:t>Reparatur-Initiativen bei komplexen Reparaturen</w:t>
      </w:r>
      <w:r>
        <w:t xml:space="preserve"> </w:t>
      </w:r>
    </w:p>
    <w:p w14:paraId="3E6939BF" w14:textId="1ED22187" w:rsidR="006633E9" w:rsidRDefault="006633E9" w:rsidP="003625E4">
      <w:pPr>
        <w:pStyle w:val="Listenabsatz"/>
        <w:numPr>
          <w:ilvl w:val="0"/>
          <w:numId w:val="5"/>
        </w:numPr>
        <w:spacing w:after="120" w:line="240" w:lineRule="auto"/>
      </w:pPr>
      <w:r>
        <w:t xml:space="preserve">Größere Reichweite </w:t>
      </w:r>
      <w:r w:rsidR="00D37F5E">
        <w:t xml:space="preserve">und </w:t>
      </w:r>
      <w:r w:rsidR="00D37F5E" w:rsidRPr="006633E9">
        <w:t>erhöhter</w:t>
      </w:r>
      <w:r w:rsidRPr="006633E9">
        <w:t xml:space="preserve"> Bekanntheit</w:t>
      </w:r>
      <w:r>
        <w:t>sgrad</w:t>
      </w:r>
      <w:r w:rsidRPr="006633E9">
        <w:t xml:space="preserve"> des Betriebes</w:t>
      </w:r>
      <w:r>
        <w:t xml:space="preserve"> durch Kooperationen (Kundenweiterleitung, Nutzung von Räumlichkeiten</w:t>
      </w:r>
      <w:r w:rsidR="00D37F5E">
        <w:t>,</w:t>
      </w:r>
      <w:r>
        <w:t xml:space="preserve"> </w:t>
      </w:r>
      <w:r w:rsidR="00B23304">
        <w:t>..</w:t>
      </w:r>
      <w:r>
        <w:t>.)</w:t>
      </w:r>
      <w:r w:rsidRPr="006633E9">
        <w:t>.</w:t>
      </w:r>
    </w:p>
    <w:p w14:paraId="54074834" w14:textId="33427179" w:rsidR="00865BBC" w:rsidRDefault="000B7A09" w:rsidP="003625E4">
      <w:pPr>
        <w:pStyle w:val="Listenabsatz"/>
        <w:numPr>
          <w:ilvl w:val="0"/>
          <w:numId w:val="5"/>
        </w:numPr>
        <w:spacing w:after="120" w:line="240" w:lineRule="auto"/>
      </w:pPr>
      <w:r>
        <w:t>Geringere Kosten durch bewussteren Ressourceneinsatz</w:t>
      </w:r>
    </w:p>
    <w:p w14:paraId="530437AE" w14:textId="5E0DA27D" w:rsidR="008822D1" w:rsidRDefault="000D1AEB" w:rsidP="00A24B3E">
      <w:pPr>
        <w:pStyle w:val="Listenabsatz"/>
      </w:pPr>
      <w:r>
        <w:t xml:space="preserve">Nachweis nachhaltigen Handelns für Nachhaltigkeitsberichterstattung (gegenüber möglichen Auftraggebern, Behörden, </w:t>
      </w:r>
      <w:r w:rsidR="00D37F5E">
        <w:t xml:space="preserve">Banken, </w:t>
      </w:r>
      <w:r>
        <w:t>…)</w:t>
      </w:r>
    </w:p>
    <w:p w14:paraId="6837CF09" w14:textId="5A7D8C36" w:rsidR="0057199A" w:rsidRPr="002544F0" w:rsidRDefault="007C4269" w:rsidP="002544F0">
      <w:pPr>
        <w:shd w:val="clear" w:color="auto" w:fill="4174B1"/>
        <w:spacing w:after="120" w:line="240" w:lineRule="auto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lastRenderedPageBreak/>
        <w:t xml:space="preserve">Wie </w:t>
      </w:r>
      <w:r w:rsidR="004D2E87">
        <w:rPr>
          <w:b/>
          <w:bCs/>
          <w:color w:val="FFFFFF" w:themeColor="background1"/>
        </w:rPr>
        <w:t>können Sie</w:t>
      </w:r>
      <w:r>
        <w:rPr>
          <w:b/>
          <w:bCs/>
          <w:color w:val="FFFFFF" w:themeColor="background1"/>
        </w:rPr>
        <w:t xml:space="preserve"> das Thema Reparatur vorantreiben und nutzen?</w:t>
      </w:r>
    </w:p>
    <w:p w14:paraId="3474C49D" w14:textId="08849AF3" w:rsidR="007338A3" w:rsidRDefault="007338A3" w:rsidP="007338A3">
      <w:r>
        <w:t>Um das Thema „Reparatur“ zu fördern, sind innerbetriebliche Aspekte ebenso wichtig wie die Zusammenarbeit mit Unterstützer</w:t>
      </w:r>
      <w:r w:rsidR="00940BC7">
        <w:t>*inne</w:t>
      </w:r>
      <w:r>
        <w:t>n und Mitstreiter*innen</w:t>
      </w:r>
      <w:r w:rsidR="00DB795C">
        <w:t xml:space="preserve">, die </w:t>
      </w:r>
      <w:r w:rsidR="00B15550">
        <w:t>das Reparieren fördern wollen</w:t>
      </w:r>
      <w:r>
        <w:t xml:space="preserve">. </w:t>
      </w:r>
    </w:p>
    <w:tbl>
      <w:tblPr>
        <w:tblStyle w:val="Tabellenraster"/>
        <w:tblW w:w="9073" w:type="dxa"/>
        <w:tblLook w:val="04A0" w:firstRow="1" w:lastRow="0" w:firstColumn="1" w:lastColumn="0" w:noHBand="0" w:noVBand="1"/>
      </w:tblPr>
      <w:tblGrid>
        <w:gridCol w:w="6830"/>
        <w:gridCol w:w="1250"/>
        <w:gridCol w:w="993"/>
      </w:tblGrid>
      <w:tr w:rsidR="007338A3" w14:paraId="70F0FF00" w14:textId="77777777" w:rsidTr="00AA67C1">
        <w:tc>
          <w:tcPr>
            <w:tcW w:w="9073" w:type="dxa"/>
            <w:gridSpan w:val="3"/>
          </w:tcPr>
          <w:p w14:paraId="669EC272" w14:textId="699F9F1F" w:rsidR="007338A3" w:rsidRDefault="007338A3" w:rsidP="00AA67C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Ideenplan zu mehr Reparaturleistungen</w:t>
            </w:r>
          </w:p>
          <w:p w14:paraId="7396881F" w14:textId="77777777" w:rsidR="007338A3" w:rsidRPr="00A6572A" w:rsidRDefault="007338A3" w:rsidP="00AA67C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  <w:t xml:space="preserve">      </w:t>
            </w:r>
            <w:r w:rsidRPr="00250106"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= kein Handlungsbedarf,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C000"/>
              </w:rPr>
              <w:t xml:space="preserve">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= mittlerer Handlungsbedarf,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 xml:space="preserve">      </w:t>
            </w:r>
            <w:r w:rsidRPr="0025010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= hoher Handlungsbedarf</w:t>
            </w:r>
          </w:p>
        </w:tc>
      </w:tr>
      <w:tr w:rsidR="007338A3" w14:paraId="5987D9EE" w14:textId="77777777" w:rsidTr="003D6B0F">
        <w:tc>
          <w:tcPr>
            <w:tcW w:w="6830" w:type="dxa"/>
          </w:tcPr>
          <w:p w14:paraId="68739903" w14:textId="649D7ABF" w:rsidR="007338A3" w:rsidRPr="00766899" w:rsidRDefault="00515ABB" w:rsidP="00AA67C1">
            <w:pPr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Beispielhafte Maßnahmen aus der Praxis</w:t>
            </w:r>
          </w:p>
        </w:tc>
        <w:tc>
          <w:tcPr>
            <w:tcW w:w="1250" w:type="dxa"/>
          </w:tcPr>
          <w:p w14:paraId="35C1E53A" w14:textId="77777777" w:rsidR="007338A3" w:rsidRPr="00767076" w:rsidRDefault="007338A3" w:rsidP="00AA67C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Handlungs-bedarf</w:t>
            </w:r>
          </w:p>
        </w:tc>
        <w:tc>
          <w:tcPr>
            <w:tcW w:w="993" w:type="dxa"/>
          </w:tcPr>
          <w:p w14:paraId="6A83B371" w14:textId="77777777" w:rsidR="007338A3" w:rsidRPr="00A6572A" w:rsidRDefault="007338A3" w:rsidP="00AA67C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Priorität</w:t>
            </w:r>
            <w:r>
              <w:rPr>
                <w:rFonts w:ascii="Calibri" w:hAnsi="Calibri" w:cs="Calibri"/>
                <w:b/>
                <w:bCs/>
              </w:rPr>
              <w:br/>
              <w:t>1 - 2 - 3</w:t>
            </w:r>
          </w:p>
        </w:tc>
      </w:tr>
      <w:tr w:rsidR="00515ABB" w14:paraId="461B06F5" w14:textId="77777777" w:rsidTr="00C816BB">
        <w:tc>
          <w:tcPr>
            <w:tcW w:w="9073" w:type="dxa"/>
            <w:gridSpan w:val="3"/>
          </w:tcPr>
          <w:p w14:paraId="430F8982" w14:textId="47F4EC1E" w:rsidR="00515ABB" w:rsidRPr="00515ABB" w:rsidRDefault="00515ABB" w:rsidP="00515ABB">
            <w:pPr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5ABB">
              <w:rPr>
                <w:rFonts w:ascii="Calibri" w:hAnsi="Calibri" w:cs="Calibri"/>
                <w:b/>
                <w:bCs/>
                <w:sz w:val="20"/>
                <w:szCs w:val="20"/>
              </w:rPr>
              <w:t>Beispielhafte Möglichkeiten im eigenen Betrieb</w:t>
            </w:r>
          </w:p>
        </w:tc>
      </w:tr>
      <w:tr w:rsidR="003D6B0F" w14:paraId="0464949D" w14:textId="77777777" w:rsidTr="003D6B0F">
        <w:tc>
          <w:tcPr>
            <w:tcW w:w="6830" w:type="dxa"/>
          </w:tcPr>
          <w:p w14:paraId="28A45785" w14:textId="106AF812" w:rsidR="003D6B0F" w:rsidRPr="007338A3" w:rsidRDefault="003D6B0F" w:rsidP="00AA67C1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8822D1">
              <w:rPr>
                <w:rFonts w:ascii="Calibri" w:hAnsi="Calibri" w:cs="Calibri"/>
                <w:sz w:val="20"/>
                <w:szCs w:val="20"/>
              </w:rPr>
              <w:t xml:space="preserve">Wir formulieren </w:t>
            </w:r>
            <w:r w:rsidR="003B166C">
              <w:rPr>
                <w:rFonts w:ascii="Calibri" w:hAnsi="Calibri" w:cs="Calibri"/>
                <w:sz w:val="20"/>
                <w:szCs w:val="20"/>
              </w:rPr>
              <w:t xml:space="preserve">in der Unternehmensstrategie </w:t>
            </w:r>
            <w:r w:rsidRPr="008822D1">
              <w:rPr>
                <w:rFonts w:ascii="Calibri" w:hAnsi="Calibri" w:cs="Calibri"/>
                <w:sz w:val="20"/>
                <w:szCs w:val="20"/>
              </w:rPr>
              <w:t>unsere Rolle im Reparaturmarkt aktiv und nutzen dies für unsere Nachhaltigkeitsstrategie und -berichterstattung.</w:t>
            </w:r>
          </w:p>
        </w:tc>
        <w:tc>
          <w:tcPr>
            <w:tcW w:w="1250" w:type="dxa"/>
          </w:tcPr>
          <w:p w14:paraId="43BE46D5" w14:textId="246BCD0C" w:rsidR="003D6B0F" w:rsidRDefault="003D6B0F" w:rsidP="00AA67C1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C000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 xml:space="preserve">    </w:t>
            </w:r>
            <w:r w:rsidRPr="00250106"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>_</w:t>
            </w:r>
          </w:p>
        </w:tc>
        <w:tc>
          <w:tcPr>
            <w:tcW w:w="993" w:type="dxa"/>
          </w:tcPr>
          <w:p w14:paraId="75B03816" w14:textId="77777777" w:rsidR="003D6B0F" w:rsidRDefault="003D6B0F" w:rsidP="00AA67C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338A3" w14:paraId="238A7F49" w14:textId="77777777" w:rsidTr="003D6B0F">
        <w:tc>
          <w:tcPr>
            <w:tcW w:w="6830" w:type="dxa"/>
          </w:tcPr>
          <w:p w14:paraId="4BC05E2B" w14:textId="09B06218" w:rsidR="007338A3" w:rsidRPr="007338A3" w:rsidRDefault="007338A3" w:rsidP="00AA67C1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7338A3">
              <w:rPr>
                <w:rFonts w:ascii="Calibri" w:hAnsi="Calibri" w:cs="Calibri"/>
                <w:sz w:val="20"/>
                <w:szCs w:val="20"/>
              </w:rPr>
              <w:t>„Nachhaltigkeit“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ist Teil unserer Unternehmensstrategie. Dies wird an unsere </w:t>
            </w:r>
            <w:r w:rsidR="003D6B0F">
              <w:rPr>
                <w:rFonts w:ascii="Calibri" w:hAnsi="Calibri" w:cs="Calibri"/>
                <w:sz w:val="20"/>
                <w:szCs w:val="20"/>
              </w:rPr>
              <w:t>Beschäftigt</w:t>
            </w:r>
            <w:r>
              <w:rPr>
                <w:rFonts w:ascii="Calibri" w:hAnsi="Calibri" w:cs="Calibri"/>
                <w:sz w:val="20"/>
                <w:szCs w:val="20"/>
              </w:rPr>
              <w:t>en kommuniziert und im Alltagsgeschäft gelebt.</w:t>
            </w:r>
            <w:r w:rsidR="003D6B0F" w:rsidRPr="008822D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</w:tcPr>
          <w:p w14:paraId="2DE9883D" w14:textId="77777777" w:rsidR="007338A3" w:rsidRDefault="007338A3" w:rsidP="00AA67C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C000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 xml:space="preserve">    </w:t>
            </w:r>
            <w:r w:rsidRPr="00250106"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>_</w:t>
            </w:r>
          </w:p>
        </w:tc>
        <w:tc>
          <w:tcPr>
            <w:tcW w:w="993" w:type="dxa"/>
          </w:tcPr>
          <w:p w14:paraId="731C6639" w14:textId="77777777" w:rsidR="007338A3" w:rsidRDefault="007338A3" w:rsidP="00AA67C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338A3" w14:paraId="7A0D7BEC" w14:textId="77777777" w:rsidTr="003D6B0F">
        <w:tc>
          <w:tcPr>
            <w:tcW w:w="6830" w:type="dxa"/>
          </w:tcPr>
          <w:p w14:paraId="1341E0A0" w14:textId="22251B7D" w:rsidR="007338A3" w:rsidRPr="00CE5F5A" w:rsidRDefault="007338A3" w:rsidP="00AA67C1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Wir ergreifen Maßnahmen, um bei unseren Mitarbeitenden das Bewusstsein für Nachhaltigkeit zu erhöhen (z. B. Informationen, Materialnutzung, stetige Verbesserung).</w:t>
            </w:r>
          </w:p>
        </w:tc>
        <w:tc>
          <w:tcPr>
            <w:tcW w:w="1250" w:type="dxa"/>
          </w:tcPr>
          <w:p w14:paraId="61530A14" w14:textId="77777777" w:rsidR="007338A3" w:rsidRPr="00250106" w:rsidRDefault="007338A3" w:rsidP="00AA67C1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C000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 xml:space="preserve">    </w:t>
            </w:r>
            <w:r w:rsidRPr="00250106"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>_</w:t>
            </w:r>
          </w:p>
        </w:tc>
        <w:tc>
          <w:tcPr>
            <w:tcW w:w="993" w:type="dxa"/>
          </w:tcPr>
          <w:p w14:paraId="49B684B2" w14:textId="77777777" w:rsidR="007338A3" w:rsidRDefault="007338A3" w:rsidP="00AA67C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753BE" w14:paraId="1BDDD866" w14:textId="77777777" w:rsidTr="003D6B0F">
        <w:tc>
          <w:tcPr>
            <w:tcW w:w="6830" w:type="dxa"/>
          </w:tcPr>
          <w:p w14:paraId="050E2569" w14:textId="643A12B5" w:rsidR="00C753BE" w:rsidRDefault="001B244D" w:rsidP="00AA67C1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Wir beraten Kund</w:t>
            </w:r>
            <w:r w:rsidR="00D37F5E">
              <w:rPr>
                <w:rFonts w:ascii="Calibri" w:hAnsi="Calibri" w:cs="Calibri"/>
                <w:sz w:val="20"/>
                <w:szCs w:val="20"/>
              </w:rPr>
              <w:t>innen und Kund</w:t>
            </w:r>
            <w:r>
              <w:rPr>
                <w:rFonts w:ascii="Calibri" w:hAnsi="Calibri" w:cs="Calibri"/>
                <w:sz w:val="20"/>
                <w:szCs w:val="20"/>
              </w:rPr>
              <w:t>en zu Möglichkeiten der Reparierbarkeit von Produkten.</w:t>
            </w:r>
          </w:p>
        </w:tc>
        <w:tc>
          <w:tcPr>
            <w:tcW w:w="1250" w:type="dxa"/>
          </w:tcPr>
          <w:p w14:paraId="0ABDD323" w14:textId="6667C439" w:rsidR="00C753BE" w:rsidRDefault="003D6B0F" w:rsidP="00AA67C1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C000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 xml:space="preserve">    </w:t>
            </w:r>
            <w:r w:rsidRPr="00250106"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>_</w:t>
            </w:r>
          </w:p>
        </w:tc>
        <w:tc>
          <w:tcPr>
            <w:tcW w:w="993" w:type="dxa"/>
          </w:tcPr>
          <w:p w14:paraId="2F599CB7" w14:textId="77777777" w:rsidR="00C753BE" w:rsidRDefault="00C753BE" w:rsidP="00AA67C1">
            <w:pPr>
              <w:spacing w:after="12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338A3" w14:paraId="17A4CBC0" w14:textId="77777777" w:rsidTr="003D6B0F">
        <w:trPr>
          <w:trHeight w:val="273"/>
        </w:trPr>
        <w:tc>
          <w:tcPr>
            <w:tcW w:w="6830" w:type="dxa"/>
          </w:tcPr>
          <w:p w14:paraId="3853D528" w14:textId="16055B84" w:rsidR="007338A3" w:rsidRPr="007338A3" w:rsidRDefault="00940BC7" w:rsidP="007338A3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8822D1">
              <w:rPr>
                <w:rFonts w:ascii="Calibri" w:hAnsi="Calibri" w:cs="Calibri"/>
                <w:sz w:val="20"/>
                <w:szCs w:val="20"/>
              </w:rPr>
              <w:t>Wir gehen mit positivem Beispiel voran, indem wir gebrauchte Betriebsmittel kaufen und all unsere Betriebsmittel durch Reparaturen so lange wie möglich nutzen</w:t>
            </w:r>
          </w:p>
        </w:tc>
        <w:tc>
          <w:tcPr>
            <w:tcW w:w="1250" w:type="dxa"/>
          </w:tcPr>
          <w:p w14:paraId="03253BEC" w14:textId="77777777" w:rsidR="007338A3" w:rsidRDefault="007338A3" w:rsidP="00AA67C1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C000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 xml:space="preserve">    </w:t>
            </w:r>
            <w:r w:rsidRPr="00250106"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>_</w:t>
            </w:r>
          </w:p>
        </w:tc>
        <w:tc>
          <w:tcPr>
            <w:tcW w:w="993" w:type="dxa"/>
          </w:tcPr>
          <w:p w14:paraId="46787EC9" w14:textId="77777777" w:rsidR="007338A3" w:rsidRPr="00250106" w:rsidRDefault="007338A3" w:rsidP="00AA67C1">
            <w:pPr>
              <w:spacing w:after="120"/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</w:pPr>
          </w:p>
        </w:tc>
      </w:tr>
      <w:tr w:rsidR="00515ABB" w14:paraId="08B38607" w14:textId="77777777" w:rsidTr="000800BD">
        <w:tc>
          <w:tcPr>
            <w:tcW w:w="9073" w:type="dxa"/>
            <w:gridSpan w:val="3"/>
          </w:tcPr>
          <w:p w14:paraId="168BB536" w14:textId="0FD9518C" w:rsidR="00515ABB" w:rsidRPr="00515ABB" w:rsidRDefault="00515ABB" w:rsidP="00515ABB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515ABB">
              <w:rPr>
                <w:rFonts w:ascii="Calibri" w:hAnsi="Calibri" w:cs="Calibri"/>
                <w:b/>
                <w:bCs/>
                <w:sz w:val="20"/>
                <w:szCs w:val="20"/>
              </w:rPr>
              <w:t>Beispielhafte Möglichkeiten der Zusammenarbeit (z. B. mit Reparatur-Initiativen)</w:t>
            </w:r>
          </w:p>
        </w:tc>
      </w:tr>
      <w:tr w:rsidR="007338A3" w14:paraId="2E633168" w14:textId="77777777" w:rsidTr="003D6B0F">
        <w:tc>
          <w:tcPr>
            <w:tcW w:w="6830" w:type="dxa"/>
          </w:tcPr>
          <w:p w14:paraId="6A2970DD" w14:textId="2546A3E0" w:rsidR="007338A3" w:rsidRPr="007338A3" w:rsidRDefault="006633E9" w:rsidP="007338A3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Wir unterstützen Beschäftigte bei der Ausübung ehrenamtlichen Engagements</w:t>
            </w:r>
            <w:r w:rsidR="000C4FF8">
              <w:rPr>
                <w:rFonts w:ascii="Calibri" w:hAnsi="Calibri" w:cs="Calibri"/>
                <w:sz w:val="20"/>
                <w:szCs w:val="20"/>
              </w:rPr>
              <w:t xml:space="preserve"> (z.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0C4FF8">
              <w:rPr>
                <w:rFonts w:ascii="Calibri" w:hAnsi="Calibri" w:cs="Calibri"/>
                <w:sz w:val="20"/>
                <w:szCs w:val="20"/>
              </w:rPr>
              <w:t xml:space="preserve">B. Engagement von Auszubildenden in Reparatur-Initiativen </w:t>
            </w:r>
            <w:r>
              <w:rPr>
                <w:rFonts w:ascii="Calibri" w:hAnsi="Calibri" w:cs="Calibri"/>
                <w:sz w:val="20"/>
                <w:szCs w:val="20"/>
              </w:rPr>
              <w:t>während der</w:t>
            </w:r>
            <w:r w:rsidR="000C4FF8">
              <w:rPr>
                <w:rFonts w:ascii="Calibri" w:hAnsi="Calibri" w:cs="Calibri"/>
                <w:sz w:val="20"/>
                <w:szCs w:val="20"/>
              </w:rPr>
              <w:t xml:space="preserve"> Arbeitszeit,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Unterstützung des </w:t>
            </w:r>
            <w:r w:rsidR="000C4FF8">
              <w:rPr>
                <w:rFonts w:ascii="Calibri" w:hAnsi="Calibri" w:cs="Calibri"/>
                <w:sz w:val="20"/>
                <w:szCs w:val="20"/>
              </w:rPr>
              <w:t>Einstieg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0C4FF8">
              <w:rPr>
                <w:rFonts w:ascii="Calibri" w:hAnsi="Calibri" w:cs="Calibri"/>
                <w:sz w:val="20"/>
                <w:szCs w:val="20"/>
              </w:rPr>
              <w:t xml:space="preserve"> ausscheidender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Beschäftigt</w:t>
            </w:r>
            <w:r w:rsidR="000C4FF8">
              <w:rPr>
                <w:rFonts w:ascii="Calibri" w:hAnsi="Calibri" w:cs="Calibri"/>
                <w:sz w:val="20"/>
                <w:szCs w:val="20"/>
              </w:rPr>
              <w:t>er in Ehrenamt, …)</w:t>
            </w:r>
            <w:r w:rsidR="00A838CF">
              <w:rPr>
                <w:rFonts w:ascii="Calibri" w:hAnsi="Calibri" w:cs="Calibri"/>
                <w:sz w:val="20"/>
                <w:szCs w:val="20"/>
              </w:rPr>
              <w:t>.</w:t>
            </w:r>
            <w:r w:rsidR="000C4FF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</w:tcPr>
          <w:p w14:paraId="52DBC293" w14:textId="77777777" w:rsidR="007338A3" w:rsidRDefault="007338A3" w:rsidP="00AA67C1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C000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 xml:space="preserve">    </w:t>
            </w:r>
            <w:r w:rsidRPr="00250106"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>_</w:t>
            </w:r>
          </w:p>
        </w:tc>
        <w:tc>
          <w:tcPr>
            <w:tcW w:w="993" w:type="dxa"/>
          </w:tcPr>
          <w:p w14:paraId="53C457A5" w14:textId="77777777" w:rsidR="007338A3" w:rsidRDefault="007338A3" w:rsidP="00AA67C1">
            <w:pPr>
              <w:spacing w:after="120"/>
              <w:rPr>
                <w:rFonts w:ascii="Calibri" w:hAnsi="Calibri" w:cs="Calibri"/>
              </w:rPr>
            </w:pPr>
          </w:p>
        </w:tc>
      </w:tr>
      <w:tr w:rsidR="006633E9" w14:paraId="00CEE57B" w14:textId="77777777" w:rsidTr="003D6B0F">
        <w:tc>
          <w:tcPr>
            <w:tcW w:w="6830" w:type="dxa"/>
          </w:tcPr>
          <w:p w14:paraId="25A4CA8B" w14:textId="569845EC" w:rsidR="006633E9" w:rsidRDefault="006633E9" w:rsidP="006633E9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Wir kennen Initiativen und Angebote, die sich mit Reparatur beschäftigen und pflegen Kontakt, um uns gegenseitig zu unterstützen.</w:t>
            </w:r>
          </w:p>
        </w:tc>
        <w:tc>
          <w:tcPr>
            <w:tcW w:w="1250" w:type="dxa"/>
          </w:tcPr>
          <w:p w14:paraId="3DFAF2D0" w14:textId="2ABF5769" w:rsidR="006633E9" w:rsidRDefault="006633E9" w:rsidP="006633E9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C000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 xml:space="preserve">    </w:t>
            </w:r>
            <w:r w:rsidRPr="00250106"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>_</w:t>
            </w:r>
          </w:p>
        </w:tc>
        <w:tc>
          <w:tcPr>
            <w:tcW w:w="993" w:type="dxa"/>
          </w:tcPr>
          <w:p w14:paraId="5F41F7DE" w14:textId="77777777" w:rsidR="006633E9" w:rsidRDefault="006633E9" w:rsidP="006633E9">
            <w:pPr>
              <w:spacing w:after="120"/>
              <w:rPr>
                <w:rFonts w:ascii="Calibri" w:hAnsi="Calibri" w:cs="Calibri"/>
              </w:rPr>
            </w:pPr>
          </w:p>
        </w:tc>
      </w:tr>
      <w:tr w:rsidR="006633E9" w14:paraId="4C1D69E5" w14:textId="77777777" w:rsidTr="003D6B0F">
        <w:tc>
          <w:tcPr>
            <w:tcW w:w="6830" w:type="dxa"/>
          </w:tcPr>
          <w:p w14:paraId="2E6B1BCE" w14:textId="6211D804" w:rsidR="006633E9" w:rsidRPr="00CE5F5A" w:rsidRDefault="006633E9" w:rsidP="006633E9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Wir spenden u. a. Materialien, Maschinen und Geräte an ehrenamtliche Reparatur-Initiativen und treffen mit ihnen Absprachen bei der Bestellung von Ersatzteilen.</w:t>
            </w:r>
          </w:p>
        </w:tc>
        <w:tc>
          <w:tcPr>
            <w:tcW w:w="1250" w:type="dxa"/>
          </w:tcPr>
          <w:p w14:paraId="5E166A14" w14:textId="77777777" w:rsidR="006633E9" w:rsidRPr="00EB6841" w:rsidRDefault="006633E9" w:rsidP="006633E9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C000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 xml:space="preserve">    </w:t>
            </w:r>
            <w:r w:rsidRPr="00250106"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>_</w:t>
            </w:r>
          </w:p>
        </w:tc>
        <w:tc>
          <w:tcPr>
            <w:tcW w:w="993" w:type="dxa"/>
          </w:tcPr>
          <w:p w14:paraId="1CF05C9B" w14:textId="77777777" w:rsidR="006633E9" w:rsidRDefault="006633E9" w:rsidP="006633E9">
            <w:pPr>
              <w:spacing w:after="120"/>
              <w:rPr>
                <w:rFonts w:ascii="Calibri" w:hAnsi="Calibri" w:cs="Calibri"/>
              </w:rPr>
            </w:pPr>
          </w:p>
        </w:tc>
      </w:tr>
      <w:tr w:rsidR="006633E9" w14:paraId="1A1F5B22" w14:textId="77777777" w:rsidTr="003D6B0F">
        <w:tc>
          <w:tcPr>
            <w:tcW w:w="6830" w:type="dxa"/>
          </w:tcPr>
          <w:p w14:paraId="1F7449E3" w14:textId="11622F8C" w:rsidR="006633E9" w:rsidRPr="00CE5F5A" w:rsidRDefault="006633E9" w:rsidP="006633E9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Wir stellen unsere Räumlichkeiten für Reparatur-</w:t>
            </w:r>
            <w:proofErr w:type="spellStart"/>
            <w:r w:rsidR="00F96FA0">
              <w:rPr>
                <w:rFonts w:ascii="Calibri" w:hAnsi="Calibri" w:cs="Calibri"/>
                <w:sz w:val="20"/>
                <w:szCs w:val="20"/>
              </w:rPr>
              <w:t>Cafes</w:t>
            </w:r>
            <w:proofErr w:type="spellEnd"/>
            <w:r w:rsidR="00F96FA0">
              <w:rPr>
                <w:rFonts w:ascii="Calibri" w:hAnsi="Calibri" w:cs="Calibri"/>
                <w:sz w:val="20"/>
                <w:szCs w:val="20"/>
              </w:rPr>
              <w:t xml:space="preserve"> und Aktionen zur Sensibilisierung der Bevölkerung</w:t>
            </w:r>
            <w:r w:rsidR="008C7789">
              <w:rPr>
                <w:rFonts w:ascii="Calibri" w:hAnsi="Calibri" w:cs="Calibri"/>
                <w:sz w:val="20"/>
                <w:szCs w:val="20"/>
              </w:rPr>
              <w:t xml:space="preserve"> rund um das Thema Reparatur und Ressourcenschutz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zur Verfügung.</w:t>
            </w:r>
          </w:p>
        </w:tc>
        <w:tc>
          <w:tcPr>
            <w:tcW w:w="1250" w:type="dxa"/>
          </w:tcPr>
          <w:p w14:paraId="4B435F2F" w14:textId="77777777" w:rsidR="006633E9" w:rsidRDefault="006633E9" w:rsidP="006633E9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C000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 xml:space="preserve">    </w:t>
            </w:r>
            <w:r w:rsidRPr="00250106"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>_</w:t>
            </w:r>
          </w:p>
        </w:tc>
        <w:tc>
          <w:tcPr>
            <w:tcW w:w="993" w:type="dxa"/>
          </w:tcPr>
          <w:p w14:paraId="72A7601E" w14:textId="77777777" w:rsidR="006633E9" w:rsidRDefault="006633E9" w:rsidP="006633E9">
            <w:pPr>
              <w:spacing w:after="120"/>
              <w:rPr>
                <w:rFonts w:ascii="Calibri" w:hAnsi="Calibri" w:cs="Calibri"/>
              </w:rPr>
            </w:pPr>
          </w:p>
        </w:tc>
      </w:tr>
      <w:tr w:rsidR="006633E9" w14:paraId="1AC072C7" w14:textId="77777777" w:rsidTr="003D6B0F">
        <w:tc>
          <w:tcPr>
            <w:tcW w:w="6830" w:type="dxa"/>
          </w:tcPr>
          <w:p w14:paraId="3FF7E11F" w14:textId="307E10D9" w:rsidR="006633E9" w:rsidRPr="00CE5F5A" w:rsidRDefault="006633E9" w:rsidP="006633E9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Wir legen Flyer und Visitenkarten bei Kooperationspartnern aus und erhöhen so unseren Bekanntheitsgrad.</w:t>
            </w:r>
          </w:p>
        </w:tc>
        <w:tc>
          <w:tcPr>
            <w:tcW w:w="1250" w:type="dxa"/>
          </w:tcPr>
          <w:p w14:paraId="23843DD3" w14:textId="77777777" w:rsidR="006633E9" w:rsidRPr="00250106" w:rsidRDefault="006633E9" w:rsidP="006633E9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C000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 xml:space="preserve">    </w:t>
            </w:r>
            <w:r w:rsidRPr="00250106"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>_</w:t>
            </w:r>
          </w:p>
        </w:tc>
        <w:tc>
          <w:tcPr>
            <w:tcW w:w="993" w:type="dxa"/>
          </w:tcPr>
          <w:p w14:paraId="2344A025" w14:textId="77777777" w:rsidR="006633E9" w:rsidRDefault="006633E9" w:rsidP="006633E9">
            <w:pPr>
              <w:spacing w:after="120"/>
              <w:rPr>
                <w:rFonts w:ascii="Calibri" w:hAnsi="Calibri" w:cs="Calibri"/>
              </w:rPr>
            </w:pPr>
          </w:p>
        </w:tc>
      </w:tr>
      <w:tr w:rsidR="006633E9" w14:paraId="14F14A6A" w14:textId="77777777" w:rsidTr="003D6B0F">
        <w:tc>
          <w:tcPr>
            <w:tcW w:w="6830" w:type="dxa"/>
          </w:tcPr>
          <w:p w14:paraId="63FFECC5" w14:textId="323531B4" w:rsidR="006633E9" w:rsidRPr="00CE5F5A" w:rsidRDefault="006633E9" w:rsidP="006633E9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Wir nehmen Förderungen in Anspruch, um mehr Reparaturen realisieren zu können (z. B. von Kommunen, Ländern, …)</w:t>
            </w:r>
          </w:p>
        </w:tc>
        <w:tc>
          <w:tcPr>
            <w:tcW w:w="1250" w:type="dxa"/>
          </w:tcPr>
          <w:p w14:paraId="6C2B2F69" w14:textId="77777777" w:rsidR="006633E9" w:rsidRPr="00250106" w:rsidRDefault="006633E9" w:rsidP="006633E9">
            <w:pPr>
              <w:spacing w:after="120"/>
              <w:jc w:val="center"/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C000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 xml:space="preserve">    </w:t>
            </w:r>
            <w:r w:rsidRPr="00250106"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>_</w:t>
            </w:r>
          </w:p>
        </w:tc>
        <w:tc>
          <w:tcPr>
            <w:tcW w:w="993" w:type="dxa"/>
          </w:tcPr>
          <w:p w14:paraId="4FC6B3EC" w14:textId="77777777" w:rsidR="006633E9" w:rsidRDefault="006633E9" w:rsidP="006633E9">
            <w:pPr>
              <w:spacing w:after="120"/>
              <w:rPr>
                <w:rFonts w:ascii="Calibri" w:hAnsi="Calibri" w:cs="Calibri"/>
              </w:rPr>
            </w:pPr>
          </w:p>
        </w:tc>
      </w:tr>
      <w:tr w:rsidR="006633E9" w14:paraId="369BE9F4" w14:textId="77777777" w:rsidTr="003D6B0F">
        <w:tc>
          <w:tcPr>
            <w:tcW w:w="6830" w:type="dxa"/>
          </w:tcPr>
          <w:p w14:paraId="74AE2DC6" w14:textId="78290B96" w:rsidR="006633E9" w:rsidRPr="00CE5F5A" w:rsidRDefault="006633E9" w:rsidP="006633E9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Wir fördern den Wissensaustausch zu</w:t>
            </w:r>
            <w:r w:rsidR="00080F6B"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Reparatur.</w:t>
            </w:r>
          </w:p>
        </w:tc>
        <w:tc>
          <w:tcPr>
            <w:tcW w:w="1250" w:type="dxa"/>
          </w:tcPr>
          <w:p w14:paraId="591EF938" w14:textId="77777777" w:rsidR="006633E9" w:rsidRDefault="006633E9" w:rsidP="006633E9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92D050"/>
              </w:rPr>
              <w:t xml:space="preserve"> 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C000"/>
              </w:rPr>
              <w:t xml:space="preserve">     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 xml:space="preserve">    </w:t>
            </w:r>
            <w:r w:rsidRPr="00250106"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>_</w:t>
            </w:r>
            <w:r>
              <w:rPr>
                <w:rFonts w:ascii="Calibri" w:hAnsi="Calibri" w:cs="Calibri"/>
                <w:sz w:val="16"/>
                <w:szCs w:val="16"/>
                <w:shd w:val="clear" w:color="auto" w:fill="FF0000"/>
              </w:rPr>
              <w:t xml:space="preserve"> </w:t>
            </w:r>
          </w:p>
        </w:tc>
        <w:tc>
          <w:tcPr>
            <w:tcW w:w="993" w:type="dxa"/>
          </w:tcPr>
          <w:p w14:paraId="144BAF97" w14:textId="77777777" w:rsidR="006633E9" w:rsidRDefault="006633E9" w:rsidP="006633E9">
            <w:pPr>
              <w:spacing w:after="120"/>
              <w:rPr>
                <w:rFonts w:ascii="Calibri" w:hAnsi="Calibri" w:cs="Calibri"/>
              </w:rPr>
            </w:pPr>
          </w:p>
        </w:tc>
      </w:tr>
    </w:tbl>
    <w:p w14:paraId="10D6FCAC" w14:textId="77777777" w:rsidR="00515ABB" w:rsidRDefault="00515ABB" w:rsidP="00100CE9">
      <w:pPr>
        <w:spacing w:after="0" w:line="240" w:lineRule="auto"/>
      </w:pPr>
    </w:p>
    <w:p w14:paraId="57F084AB" w14:textId="77777777" w:rsidR="00515ABB" w:rsidRDefault="00515ABB" w:rsidP="008822D1">
      <w:pPr>
        <w:spacing w:after="120" w:line="240" w:lineRule="auto"/>
      </w:pPr>
      <w:r>
        <w:t>Weitere Informationen rund um das Thema Reparatur finden Sie u. a. hier:</w:t>
      </w:r>
    </w:p>
    <w:p w14:paraId="2E4BFB56" w14:textId="268BE49A" w:rsidR="00FB5909" w:rsidRDefault="00B23304" w:rsidP="00100CE9">
      <w:pPr>
        <w:pStyle w:val="Listenabsatz"/>
        <w:numPr>
          <w:ilvl w:val="0"/>
          <w:numId w:val="8"/>
        </w:numPr>
        <w:spacing w:after="120" w:line="240" w:lineRule="auto"/>
      </w:pPr>
      <w:r>
        <w:t>itb:</w:t>
      </w:r>
      <w:hyperlink r:id="rId8" w:history="1">
        <w:r w:rsidRPr="00B23304">
          <w:rPr>
            <w:rStyle w:val="Hyperlink"/>
          </w:rPr>
          <w:t xml:space="preserve"> </w:t>
        </w:r>
        <w:r w:rsidR="000B7A09" w:rsidRPr="00B23304">
          <w:rPr>
            <w:rStyle w:val="Hyperlink"/>
          </w:rPr>
          <w:t>Zusammenarbeit von Handwerksorganisationen und Reparatur-Initiativen – Leitfaden zur Förderung der Zusammenarbeit</w:t>
        </w:r>
      </w:hyperlink>
    </w:p>
    <w:p w14:paraId="4262FA88" w14:textId="2F814C17" w:rsidR="00100CE9" w:rsidRDefault="00B23304" w:rsidP="00100CE9">
      <w:pPr>
        <w:pStyle w:val="Listenabsatz"/>
        <w:numPr>
          <w:ilvl w:val="0"/>
          <w:numId w:val="8"/>
        </w:numPr>
        <w:spacing w:after="120" w:line="240" w:lineRule="auto"/>
      </w:pPr>
      <w:r>
        <w:t xml:space="preserve">itb: </w:t>
      </w:r>
      <w:hyperlink r:id="rId9" w:history="1">
        <w:r w:rsidR="00100CE9" w:rsidRPr="00B23304">
          <w:rPr>
            <w:rStyle w:val="Hyperlink"/>
          </w:rPr>
          <w:t>Reparatur und Handwerk</w:t>
        </w:r>
      </w:hyperlink>
      <w:r w:rsidR="00100CE9">
        <w:t xml:space="preserve"> </w:t>
      </w:r>
    </w:p>
    <w:p w14:paraId="72DDD5B5" w14:textId="7346C92F" w:rsidR="00B23304" w:rsidRDefault="00B23304" w:rsidP="00100CE9">
      <w:pPr>
        <w:pStyle w:val="Listenabsatz"/>
        <w:numPr>
          <w:ilvl w:val="0"/>
          <w:numId w:val="8"/>
        </w:numPr>
        <w:spacing w:after="120" w:line="240" w:lineRule="auto"/>
      </w:pPr>
      <w:r>
        <w:t xml:space="preserve">itb: </w:t>
      </w:r>
      <w:hyperlink r:id="rId10" w:history="1">
        <w:r w:rsidRPr="00B23304">
          <w:rPr>
            <w:rStyle w:val="Hyperlink"/>
          </w:rPr>
          <w:t>Reallabore fördern Reparatur</w:t>
        </w:r>
      </w:hyperlink>
    </w:p>
    <w:p w14:paraId="2468033B" w14:textId="157D7E0C" w:rsidR="00B23304" w:rsidRDefault="00B23304" w:rsidP="00100CE9">
      <w:pPr>
        <w:pStyle w:val="Listenabsatz"/>
        <w:numPr>
          <w:ilvl w:val="0"/>
          <w:numId w:val="8"/>
        </w:numPr>
        <w:spacing w:after="120" w:line="240" w:lineRule="auto"/>
      </w:pPr>
      <w:r>
        <w:t xml:space="preserve">Umweltbundesamt: </w:t>
      </w:r>
      <w:hyperlink r:id="rId11" w:history="1">
        <w:r w:rsidRPr="00B23304">
          <w:rPr>
            <w:rStyle w:val="Hyperlink"/>
          </w:rPr>
          <w:t>Reparatur</w:t>
        </w:r>
      </w:hyperlink>
    </w:p>
    <w:p w14:paraId="7E412C4C" w14:textId="6C0A8844" w:rsidR="00FB5909" w:rsidRPr="00FB5909" w:rsidRDefault="00FB5909" w:rsidP="00B23304">
      <w:pPr>
        <w:tabs>
          <w:tab w:val="left" w:pos="888"/>
        </w:tabs>
        <w:spacing w:after="120" w:line="240" w:lineRule="auto"/>
      </w:pPr>
    </w:p>
    <w:sectPr w:rsidR="00FB5909" w:rsidRPr="00FB5909" w:rsidSect="0045735C">
      <w:headerReference w:type="default" r:id="rId12"/>
      <w:footerReference w:type="default" r:id="rId13"/>
      <w:pgSz w:w="11906" w:h="16838" w:code="9"/>
      <w:pgMar w:top="1418" w:right="1469" w:bottom="1134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F06D" w14:textId="77777777" w:rsidR="0045735C" w:rsidRDefault="0045735C" w:rsidP="0093782B">
      <w:pPr>
        <w:spacing w:after="0" w:line="240" w:lineRule="auto"/>
      </w:pPr>
      <w:r>
        <w:separator/>
      </w:r>
    </w:p>
  </w:endnote>
  <w:endnote w:type="continuationSeparator" w:id="0">
    <w:p w14:paraId="5362D5CD" w14:textId="77777777" w:rsidR="0045735C" w:rsidRDefault="0045735C" w:rsidP="0093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8010" w14:textId="7F162EE5" w:rsidR="00A575F3" w:rsidRPr="00A575F3" w:rsidRDefault="00A575F3">
    <w:pPr>
      <w:pStyle w:val="Fuzeile"/>
      <w:rPr>
        <w:rFonts w:cstheme="minorHAnsi"/>
        <w:sz w:val="16"/>
        <w:szCs w:val="16"/>
      </w:rPr>
    </w:pPr>
    <w:r w:rsidRPr="00C211F7">
      <w:rPr>
        <w:rStyle w:val="markedcontent"/>
        <w:rFonts w:cstheme="minorHAnsi"/>
        <w:sz w:val="16"/>
        <w:szCs w:val="16"/>
      </w:rPr>
      <w:t>Herausgeberin: Offensive Mittelstand – Stiftung „Mittelstand – Gesellschaft – Verantwortung“</w:t>
    </w:r>
    <w:r>
      <w:rPr>
        <w:rFonts w:cstheme="minorHAnsi"/>
        <w:sz w:val="16"/>
        <w:szCs w:val="16"/>
      </w:rPr>
      <w:t xml:space="preserve">, </w:t>
    </w:r>
    <w:r w:rsidRPr="00C211F7">
      <w:rPr>
        <w:rStyle w:val="markedcontent"/>
        <w:rFonts w:cstheme="minorHAnsi"/>
        <w:sz w:val="16"/>
        <w:szCs w:val="16"/>
      </w:rPr>
      <w:t xml:space="preserve">Kurfürsten-Anlage 62, 69115 Heidelberg, </w:t>
    </w:r>
    <w:hyperlink r:id="rId1" w:history="1">
      <w:r w:rsidR="001A10A4" w:rsidRPr="00823B7A">
        <w:rPr>
          <w:rStyle w:val="Hyperlink"/>
          <w:rFonts w:cstheme="minorHAnsi"/>
          <w:sz w:val="16"/>
          <w:szCs w:val="16"/>
        </w:rPr>
        <w:t>www.offensive-mittelstand.de</w:t>
      </w:r>
    </w:hyperlink>
    <w:r>
      <w:rPr>
        <w:rStyle w:val="markedcontent"/>
        <w:rFonts w:cstheme="minorHAnsi"/>
        <w:sz w:val="16"/>
        <w:szCs w:val="16"/>
      </w:rPr>
      <w:t xml:space="preserve">.  </w:t>
    </w:r>
    <w:r w:rsidRPr="00C211F7">
      <w:rPr>
        <w:rStyle w:val="markedcontent"/>
        <w:rFonts w:cstheme="minorHAnsi"/>
        <w:sz w:val="16"/>
        <w:szCs w:val="16"/>
      </w:rPr>
      <w:t>©</w:t>
    </w:r>
    <w:r>
      <w:rPr>
        <w:rStyle w:val="markedcontent"/>
        <w:rFonts w:cstheme="minorHAnsi"/>
        <w:sz w:val="16"/>
        <w:szCs w:val="16"/>
      </w:rPr>
      <w:t xml:space="preserve"> </w:t>
    </w:r>
    <w:r w:rsidRPr="00C211F7">
      <w:rPr>
        <w:rStyle w:val="markedcontent"/>
        <w:rFonts w:cstheme="minorHAnsi"/>
        <w:sz w:val="16"/>
        <w:szCs w:val="16"/>
      </w:rPr>
      <w:t>Stiftung „Mittelstand – Gesellschaft – Verantwortung“</w:t>
    </w:r>
    <w:r>
      <w:rPr>
        <w:rStyle w:val="markedcontent"/>
        <w:rFonts w:cstheme="minorHAnsi"/>
        <w:sz w:val="16"/>
        <w:szCs w:val="16"/>
      </w:rPr>
      <w:t xml:space="preserve">. </w:t>
    </w:r>
    <w:r w:rsidRPr="00C211F7">
      <w:rPr>
        <w:rStyle w:val="markedcontent"/>
        <w:rFonts w:cstheme="minorHAnsi"/>
        <w:sz w:val="16"/>
        <w:szCs w:val="16"/>
      </w:rPr>
      <w:t>20</w:t>
    </w:r>
    <w:r>
      <w:rPr>
        <w:rStyle w:val="markedcontent"/>
        <w:rFonts w:cstheme="minorHAnsi"/>
        <w:sz w:val="16"/>
        <w:szCs w:val="16"/>
      </w:rPr>
      <w:t>23</w:t>
    </w:r>
    <w:r w:rsidR="00BA2D9F">
      <w:rPr>
        <w:rStyle w:val="markedcontent"/>
        <w:rFonts w:cstheme="minorHAnsi"/>
        <w:sz w:val="16"/>
        <w:szCs w:val="16"/>
      </w:rPr>
      <w:t xml:space="preserve">. </w:t>
    </w:r>
    <w:r w:rsidRPr="00C211F7">
      <w:rPr>
        <w:rStyle w:val="markedcontent"/>
        <w:rFonts w:cstheme="minorHAnsi"/>
        <w:sz w:val="16"/>
        <w:szCs w:val="16"/>
      </w:rPr>
      <w:t>Heidelberg</w:t>
    </w:r>
    <w:r w:rsidR="00BA2D9F">
      <w:rPr>
        <w:rStyle w:val="markedcontent"/>
        <w:rFonts w:cstheme="minorHAns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A715" w14:textId="77777777" w:rsidR="0045735C" w:rsidRDefault="0045735C" w:rsidP="0093782B">
      <w:pPr>
        <w:spacing w:after="0" w:line="240" w:lineRule="auto"/>
      </w:pPr>
      <w:r>
        <w:separator/>
      </w:r>
    </w:p>
  </w:footnote>
  <w:footnote w:type="continuationSeparator" w:id="0">
    <w:p w14:paraId="7A544F01" w14:textId="77777777" w:rsidR="0045735C" w:rsidRDefault="0045735C" w:rsidP="0093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4B5E" w14:textId="595338BB" w:rsidR="000931B3" w:rsidRDefault="0046290E" w:rsidP="0046290E">
    <w:pPr>
      <w:pStyle w:val="Fuzeile"/>
      <w:jc w:val="center"/>
    </w:pPr>
    <w:r>
      <w:rPr>
        <w:noProof/>
      </w:rPr>
      <w:drawing>
        <wp:inline distT="0" distB="0" distL="0" distR="0" wp14:anchorId="1FE05D7C" wp14:editId="0A2611D5">
          <wp:extent cx="1357746" cy="694153"/>
          <wp:effectExtent l="0" t="0" r="0" b="0"/>
          <wp:docPr id="816965390" name="Grafik 1" descr="Ein Bild, das Text, Schrif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965390" name="Grafik 1" descr="Ein Bild, das Text, Schrift, Screenshot, Desig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909" cy="699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FA6851" w14:textId="77777777" w:rsidR="000931B3" w:rsidRDefault="000931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939"/>
    <w:multiLevelType w:val="hybridMultilevel"/>
    <w:tmpl w:val="07C0B9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534A6"/>
    <w:multiLevelType w:val="hybridMultilevel"/>
    <w:tmpl w:val="6CC8AE6E"/>
    <w:lvl w:ilvl="0" w:tplc="A672D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27D"/>
    <w:multiLevelType w:val="hybridMultilevel"/>
    <w:tmpl w:val="54D6E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5381A"/>
    <w:multiLevelType w:val="hybridMultilevel"/>
    <w:tmpl w:val="5FB4E7D6"/>
    <w:lvl w:ilvl="0" w:tplc="ED269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F2A2A"/>
    <w:multiLevelType w:val="hybridMultilevel"/>
    <w:tmpl w:val="98BE5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01B9E"/>
    <w:multiLevelType w:val="hybridMultilevel"/>
    <w:tmpl w:val="B8FAE8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448A"/>
    <w:multiLevelType w:val="hybridMultilevel"/>
    <w:tmpl w:val="371C8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256D3"/>
    <w:multiLevelType w:val="hybridMultilevel"/>
    <w:tmpl w:val="65640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389444">
    <w:abstractNumId w:val="6"/>
  </w:num>
  <w:num w:numId="2" w16cid:durableId="1046949748">
    <w:abstractNumId w:val="0"/>
  </w:num>
  <w:num w:numId="3" w16cid:durableId="93938902">
    <w:abstractNumId w:val="2"/>
  </w:num>
  <w:num w:numId="4" w16cid:durableId="1503475127">
    <w:abstractNumId w:val="4"/>
  </w:num>
  <w:num w:numId="5" w16cid:durableId="1657033775">
    <w:abstractNumId w:val="1"/>
  </w:num>
  <w:num w:numId="6" w16cid:durableId="1112170912">
    <w:abstractNumId w:val="5"/>
  </w:num>
  <w:num w:numId="7" w16cid:durableId="2140028170">
    <w:abstractNumId w:val="3"/>
  </w:num>
  <w:num w:numId="8" w16cid:durableId="1722555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1"/>
    <w:rsid w:val="0001458F"/>
    <w:rsid w:val="00022403"/>
    <w:rsid w:val="00036D44"/>
    <w:rsid w:val="0007510F"/>
    <w:rsid w:val="00080F6B"/>
    <w:rsid w:val="00091190"/>
    <w:rsid w:val="000931B3"/>
    <w:rsid w:val="00094AA2"/>
    <w:rsid w:val="000A080A"/>
    <w:rsid w:val="000B7A09"/>
    <w:rsid w:val="000C4FF8"/>
    <w:rsid w:val="000C52E2"/>
    <w:rsid w:val="000D1AEB"/>
    <w:rsid w:val="000E7B8A"/>
    <w:rsid w:val="000F5007"/>
    <w:rsid w:val="00100CE9"/>
    <w:rsid w:val="001208DC"/>
    <w:rsid w:val="00135681"/>
    <w:rsid w:val="00147EC9"/>
    <w:rsid w:val="00155C56"/>
    <w:rsid w:val="00174DFF"/>
    <w:rsid w:val="001756B0"/>
    <w:rsid w:val="00180C2C"/>
    <w:rsid w:val="001A10A4"/>
    <w:rsid w:val="001B244D"/>
    <w:rsid w:val="001B5EC3"/>
    <w:rsid w:val="001B6FD8"/>
    <w:rsid w:val="001C26A5"/>
    <w:rsid w:val="001F3665"/>
    <w:rsid w:val="002312C1"/>
    <w:rsid w:val="00235FB1"/>
    <w:rsid w:val="00245EC8"/>
    <w:rsid w:val="002463A0"/>
    <w:rsid w:val="0025147D"/>
    <w:rsid w:val="002544F0"/>
    <w:rsid w:val="002579DF"/>
    <w:rsid w:val="00273213"/>
    <w:rsid w:val="002B7748"/>
    <w:rsid w:val="002C1622"/>
    <w:rsid w:val="002E483C"/>
    <w:rsid w:val="0034798F"/>
    <w:rsid w:val="0035006E"/>
    <w:rsid w:val="003625E4"/>
    <w:rsid w:val="00380D14"/>
    <w:rsid w:val="00384636"/>
    <w:rsid w:val="00386186"/>
    <w:rsid w:val="003A5EDA"/>
    <w:rsid w:val="003B166C"/>
    <w:rsid w:val="003B6272"/>
    <w:rsid w:val="003D6B0F"/>
    <w:rsid w:val="003E3622"/>
    <w:rsid w:val="004109E5"/>
    <w:rsid w:val="00412261"/>
    <w:rsid w:val="00431AFB"/>
    <w:rsid w:val="00452AAE"/>
    <w:rsid w:val="0045735C"/>
    <w:rsid w:val="00457940"/>
    <w:rsid w:val="0046071A"/>
    <w:rsid w:val="0046290E"/>
    <w:rsid w:val="00464B08"/>
    <w:rsid w:val="004716C4"/>
    <w:rsid w:val="00475433"/>
    <w:rsid w:val="004C01CB"/>
    <w:rsid w:val="004D2E87"/>
    <w:rsid w:val="004E333C"/>
    <w:rsid w:val="004E6F7D"/>
    <w:rsid w:val="00515ABB"/>
    <w:rsid w:val="0051769A"/>
    <w:rsid w:val="005229B7"/>
    <w:rsid w:val="0053765F"/>
    <w:rsid w:val="00546BD1"/>
    <w:rsid w:val="00547212"/>
    <w:rsid w:val="00570A28"/>
    <w:rsid w:val="0057199A"/>
    <w:rsid w:val="00575D61"/>
    <w:rsid w:val="00577423"/>
    <w:rsid w:val="005A696B"/>
    <w:rsid w:val="005C373A"/>
    <w:rsid w:val="00613934"/>
    <w:rsid w:val="00637569"/>
    <w:rsid w:val="00645A0B"/>
    <w:rsid w:val="00655A3F"/>
    <w:rsid w:val="006633E9"/>
    <w:rsid w:val="0067115B"/>
    <w:rsid w:val="00690DFE"/>
    <w:rsid w:val="006A26C8"/>
    <w:rsid w:val="006B279E"/>
    <w:rsid w:val="006B537A"/>
    <w:rsid w:val="006B6A22"/>
    <w:rsid w:val="006C3C09"/>
    <w:rsid w:val="006D333B"/>
    <w:rsid w:val="006E2A9C"/>
    <w:rsid w:val="006F427C"/>
    <w:rsid w:val="00722BA2"/>
    <w:rsid w:val="007338A3"/>
    <w:rsid w:val="00742707"/>
    <w:rsid w:val="00744BAF"/>
    <w:rsid w:val="00747937"/>
    <w:rsid w:val="00750A7C"/>
    <w:rsid w:val="00753F2F"/>
    <w:rsid w:val="00756A70"/>
    <w:rsid w:val="00770FB1"/>
    <w:rsid w:val="00780A96"/>
    <w:rsid w:val="00785A9C"/>
    <w:rsid w:val="007A29B9"/>
    <w:rsid w:val="007B264E"/>
    <w:rsid w:val="007C4269"/>
    <w:rsid w:val="007D2E92"/>
    <w:rsid w:val="007D4FA0"/>
    <w:rsid w:val="007F22B8"/>
    <w:rsid w:val="007F3A23"/>
    <w:rsid w:val="008167AF"/>
    <w:rsid w:val="00865BBC"/>
    <w:rsid w:val="00866BC1"/>
    <w:rsid w:val="00870B0E"/>
    <w:rsid w:val="008762A9"/>
    <w:rsid w:val="008822D1"/>
    <w:rsid w:val="00882FA3"/>
    <w:rsid w:val="00885A58"/>
    <w:rsid w:val="008B5EBE"/>
    <w:rsid w:val="008C7789"/>
    <w:rsid w:val="008E4B4C"/>
    <w:rsid w:val="008E57B1"/>
    <w:rsid w:val="008E72E6"/>
    <w:rsid w:val="00900E4A"/>
    <w:rsid w:val="00925948"/>
    <w:rsid w:val="0093782B"/>
    <w:rsid w:val="00940BC7"/>
    <w:rsid w:val="00967267"/>
    <w:rsid w:val="009769FA"/>
    <w:rsid w:val="00990A8D"/>
    <w:rsid w:val="0099244B"/>
    <w:rsid w:val="00997435"/>
    <w:rsid w:val="009A1983"/>
    <w:rsid w:val="009A5239"/>
    <w:rsid w:val="009A61E2"/>
    <w:rsid w:val="009D4BFF"/>
    <w:rsid w:val="009E2283"/>
    <w:rsid w:val="009E5FD9"/>
    <w:rsid w:val="00A24B3E"/>
    <w:rsid w:val="00A36BEF"/>
    <w:rsid w:val="00A519EA"/>
    <w:rsid w:val="00A575F3"/>
    <w:rsid w:val="00A61B1B"/>
    <w:rsid w:val="00A635EF"/>
    <w:rsid w:val="00A723E1"/>
    <w:rsid w:val="00A838CF"/>
    <w:rsid w:val="00A84081"/>
    <w:rsid w:val="00A8588D"/>
    <w:rsid w:val="00A92BE0"/>
    <w:rsid w:val="00AB273A"/>
    <w:rsid w:val="00AF04C2"/>
    <w:rsid w:val="00AF5B2E"/>
    <w:rsid w:val="00B15550"/>
    <w:rsid w:val="00B22F1A"/>
    <w:rsid w:val="00B23304"/>
    <w:rsid w:val="00B261D2"/>
    <w:rsid w:val="00B46082"/>
    <w:rsid w:val="00B83A6D"/>
    <w:rsid w:val="00B9214F"/>
    <w:rsid w:val="00B97CB6"/>
    <w:rsid w:val="00BA03D5"/>
    <w:rsid w:val="00BA0C8D"/>
    <w:rsid w:val="00BA2D9F"/>
    <w:rsid w:val="00BA54EB"/>
    <w:rsid w:val="00BB45C1"/>
    <w:rsid w:val="00BC444A"/>
    <w:rsid w:val="00BD76D2"/>
    <w:rsid w:val="00BE4F71"/>
    <w:rsid w:val="00BF6BBE"/>
    <w:rsid w:val="00C32C2F"/>
    <w:rsid w:val="00C45DE3"/>
    <w:rsid w:val="00C51EE0"/>
    <w:rsid w:val="00C61C60"/>
    <w:rsid w:val="00C73BF7"/>
    <w:rsid w:val="00C7459B"/>
    <w:rsid w:val="00C753BE"/>
    <w:rsid w:val="00C778A1"/>
    <w:rsid w:val="00C800F3"/>
    <w:rsid w:val="00CC2F49"/>
    <w:rsid w:val="00CF2FA6"/>
    <w:rsid w:val="00CF47CB"/>
    <w:rsid w:val="00D04994"/>
    <w:rsid w:val="00D2587E"/>
    <w:rsid w:val="00D37F5E"/>
    <w:rsid w:val="00D6134B"/>
    <w:rsid w:val="00D77C34"/>
    <w:rsid w:val="00D83AEB"/>
    <w:rsid w:val="00D84C85"/>
    <w:rsid w:val="00D91961"/>
    <w:rsid w:val="00D96220"/>
    <w:rsid w:val="00D96403"/>
    <w:rsid w:val="00DB795C"/>
    <w:rsid w:val="00DC7756"/>
    <w:rsid w:val="00DF25A6"/>
    <w:rsid w:val="00DF2C6F"/>
    <w:rsid w:val="00E00D7F"/>
    <w:rsid w:val="00E13FA0"/>
    <w:rsid w:val="00E21015"/>
    <w:rsid w:val="00E5172F"/>
    <w:rsid w:val="00E57ED9"/>
    <w:rsid w:val="00E7252A"/>
    <w:rsid w:val="00EA16F6"/>
    <w:rsid w:val="00EA1FFC"/>
    <w:rsid w:val="00EA2105"/>
    <w:rsid w:val="00EC7A56"/>
    <w:rsid w:val="00EE2AA4"/>
    <w:rsid w:val="00EE4420"/>
    <w:rsid w:val="00F157DB"/>
    <w:rsid w:val="00F178AA"/>
    <w:rsid w:val="00F21F5E"/>
    <w:rsid w:val="00F23243"/>
    <w:rsid w:val="00F34AE5"/>
    <w:rsid w:val="00F63EB7"/>
    <w:rsid w:val="00F969C5"/>
    <w:rsid w:val="00F96FA0"/>
    <w:rsid w:val="00FB5909"/>
    <w:rsid w:val="00FB6028"/>
    <w:rsid w:val="00FC00D1"/>
    <w:rsid w:val="00FC07DE"/>
    <w:rsid w:val="00FD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2FC8E"/>
  <w15:chartTrackingRefBased/>
  <w15:docId w15:val="{88A4DD71-FA6B-42F2-BE90-3C3C6F3B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279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3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782B"/>
  </w:style>
  <w:style w:type="paragraph" w:styleId="Fuzeile">
    <w:name w:val="footer"/>
    <w:basedOn w:val="Standard"/>
    <w:link w:val="FuzeileZchn"/>
    <w:uiPriority w:val="99"/>
    <w:unhideWhenUsed/>
    <w:rsid w:val="0093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782B"/>
  </w:style>
  <w:style w:type="character" w:styleId="Hyperlink">
    <w:name w:val="Hyperlink"/>
    <w:basedOn w:val="Absatz-Standardschriftart"/>
    <w:uiPriority w:val="99"/>
    <w:unhideWhenUsed/>
    <w:rsid w:val="00EA210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210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9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A575F3"/>
  </w:style>
  <w:style w:type="paragraph" w:styleId="berarbeitung">
    <w:name w:val="Revision"/>
    <w:hidden/>
    <w:uiPriority w:val="99"/>
    <w:semiHidden/>
    <w:rsid w:val="00DF2C6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519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519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519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19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19E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F2F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Absatz-Standardschriftart"/>
    <w:rsid w:val="00722BA2"/>
    <w:rPr>
      <w:rFonts w:ascii="Segoe UI" w:hAnsi="Segoe UI" w:cs="Segoe UI" w:hint="default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B233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Mitarbeiter-3/Downloads/RealKoop-Leitfaden_Zusammenarbeit_Handwerksorganisationen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mweltbundesamt.de/tags/reparatu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://Users/Mitarbeiter-3/Downloads/Reallabore_foerdern_reparatur.pdf" TargetMode="External"/><Relationship Id="rId4" Type="http://schemas.openxmlformats.org/officeDocument/2006/relationships/settings" Target="settings.xml"/><Relationship Id="rId9" Type="http://schemas.openxmlformats.org/officeDocument/2006/relationships/hyperlink" Target="C://Users/Mitarbeiter-3/Downloads/ifh-fb_19_2023-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ffensive-mittelst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2B3F-230F-425B-982F-9BF32DC1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CERNAVIN</dc:creator>
  <cp:keywords/>
  <dc:description/>
  <cp:lastModifiedBy>Theresa JOERISSEN</cp:lastModifiedBy>
  <cp:revision>2</cp:revision>
  <cp:lastPrinted>2024-01-12T09:02:00Z</cp:lastPrinted>
  <dcterms:created xsi:type="dcterms:W3CDTF">2024-01-17T12:25:00Z</dcterms:created>
  <dcterms:modified xsi:type="dcterms:W3CDTF">2024-01-17T12:25:00Z</dcterms:modified>
</cp:coreProperties>
</file>